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46"/>
        <w:tblW w:w="1054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  <w:tblDescription w:val="summary or vaccine reommendations"/>
      </w:tblPr>
      <w:tblGrid>
        <w:gridCol w:w="1710"/>
        <w:gridCol w:w="8835"/>
      </w:tblGrid>
      <w:tr w:rsidR="005D73FE" w:rsidRPr="005D73FE" w:rsidTr="000E1783">
        <w:trPr>
          <w:trHeight w:val="540"/>
          <w:tblCellSpacing w:w="0" w:type="dxa"/>
        </w:trPr>
        <w:tc>
          <w:tcPr>
            <w:tcW w:w="17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CFFEC"/>
            <w:vAlign w:val="center"/>
            <w:hideMark/>
          </w:tcPr>
          <w:p w:rsidR="005D73FE" w:rsidRPr="005D73FE" w:rsidRDefault="005D73FE" w:rsidP="000E1783">
            <w:pPr>
              <w:spacing w:after="264" w:line="240" w:lineRule="auto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 w:rsidRPr="005D73FE">
              <w:rPr>
                <w:rFonts w:ascii="Verdana" w:eastAsia="Times New Roman" w:hAnsi="Verdana" w:cs="Arial"/>
                <w:b/>
                <w:bCs/>
                <w:color w:val="000000"/>
              </w:rPr>
              <w:t xml:space="preserve">Age/Status </w:t>
            </w:r>
          </w:p>
        </w:tc>
        <w:tc>
          <w:tcPr>
            <w:tcW w:w="8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CFFEC"/>
            <w:vAlign w:val="center"/>
            <w:hideMark/>
          </w:tcPr>
          <w:p w:rsidR="005D73FE" w:rsidRPr="005D73FE" w:rsidRDefault="005D73FE" w:rsidP="000E1783">
            <w:pPr>
              <w:spacing w:after="264" w:line="240" w:lineRule="auto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 w:rsidRPr="005D73FE">
              <w:rPr>
                <w:rFonts w:ascii="Verdana" w:eastAsia="Times New Roman" w:hAnsi="Verdana" w:cs="Arial"/>
                <w:b/>
                <w:bCs/>
                <w:color w:val="000000"/>
              </w:rPr>
              <w:t xml:space="preserve">Recommendations </w:t>
            </w:r>
          </w:p>
        </w:tc>
      </w:tr>
      <w:tr w:rsidR="005D73FE" w:rsidRPr="005D73FE" w:rsidTr="000E1783">
        <w:trPr>
          <w:trHeight w:val="402"/>
          <w:tblCellSpacing w:w="0" w:type="dxa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3FE" w:rsidRPr="005D73FE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Under one year of age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3FE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Under routine circumstances MMR is not recommended for children under 12 months of age.</w:t>
            </w:r>
          </w:p>
          <w:p w:rsidR="0084453D" w:rsidRPr="005D73FE" w:rsidRDefault="0084453D" w:rsidP="007429C8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MMR can be given to children as young as six months of age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 if they have been exposed,</w:t>
            </w:r>
            <w:r>
              <w:rPr>
                <w:rFonts w:ascii="Verdana" w:eastAsia="Times New Roman" w:hAnsi="Verdana" w:cs="Arial"/>
                <w:color w:val="000000"/>
              </w:rPr>
              <w:t xml:space="preserve"> 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if they are </w:t>
            </w:r>
            <w:r>
              <w:rPr>
                <w:rFonts w:ascii="Verdana" w:eastAsia="Times New Roman" w:hAnsi="Verdana" w:cs="Arial"/>
                <w:color w:val="000000"/>
              </w:rPr>
              <w:t xml:space="preserve">in an outbreak setting, or if they are travelling to a measles-endemic area. Children </w:t>
            </w:r>
            <w:r w:rsidR="007429C8">
              <w:rPr>
                <w:rFonts w:ascii="Verdana" w:eastAsia="Times New Roman" w:hAnsi="Verdana" w:cs="Arial"/>
                <w:color w:val="000000"/>
              </w:rPr>
              <w:t>who</w:t>
            </w:r>
            <w:r>
              <w:rPr>
                <w:rFonts w:ascii="Verdana" w:eastAsia="Times New Roman" w:hAnsi="Verdana" w:cs="Arial"/>
                <w:color w:val="000000"/>
              </w:rPr>
              <w:t xml:space="preserve"> receive MMR before their first birthday should </w:t>
            </w:r>
            <w:r w:rsidR="007429C8">
              <w:rPr>
                <w:rFonts w:ascii="Verdana" w:eastAsia="Times New Roman" w:hAnsi="Verdana" w:cs="Arial"/>
                <w:color w:val="000000"/>
              </w:rPr>
              <w:t>receive two additional doses according to the routine schedule.</w:t>
            </w:r>
            <w:r>
              <w:rPr>
                <w:rFonts w:ascii="Verdana" w:eastAsia="Times New Roman" w:hAnsi="Verdana" w:cs="Arial"/>
                <w:color w:val="000000"/>
              </w:rPr>
              <w:t xml:space="preserve"> </w:t>
            </w:r>
          </w:p>
        </w:tc>
      </w:tr>
      <w:tr w:rsidR="005D73FE" w:rsidRPr="005D73FE" w:rsidTr="000E1783">
        <w:trPr>
          <w:trHeight w:val="702"/>
          <w:tblCellSpacing w:w="0" w:type="dxa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3FE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1-6 years old</w:t>
            </w:r>
          </w:p>
          <w:p w:rsidR="00537CE4" w:rsidRPr="005D73FE" w:rsidRDefault="00537CE4" w:rsidP="000E1783">
            <w:pPr>
              <w:spacing w:before="75" w:after="150" w:line="240" w:lineRule="auto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53D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The first MMR dose is recommended at 12-15 months of age.</w:t>
            </w:r>
          </w:p>
          <w:p w:rsidR="005D73FE" w:rsidRPr="0084453D" w:rsidRDefault="0084453D" w:rsidP="007429C8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The second MMR dose is r</w:t>
            </w:r>
            <w:r w:rsidR="000E1783">
              <w:rPr>
                <w:rFonts w:ascii="Verdana" w:eastAsia="Times New Roman" w:hAnsi="Verdana" w:cs="Arial"/>
                <w:color w:val="000000"/>
              </w:rPr>
              <w:t>ecommended at 4-6 years of age.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  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If both doses are needed for catch-up, they should be given at least 28 days apart. </w:t>
            </w:r>
          </w:p>
        </w:tc>
      </w:tr>
      <w:tr w:rsidR="005D73FE" w:rsidRPr="005D73FE" w:rsidTr="000E1783">
        <w:trPr>
          <w:tblCellSpacing w:w="0" w:type="dxa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3FE" w:rsidRPr="005D73FE" w:rsidRDefault="0084453D" w:rsidP="000B52C6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7-19</w:t>
            </w:r>
            <w:r w:rsidR="000B52C6">
              <w:rPr>
                <w:rFonts w:ascii="Verdana" w:eastAsia="Times New Roman" w:hAnsi="Verdana" w:cs="Arial"/>
                <w:color w:val="000000"/>
              </w:rPr>
              <w:t xml:space="preserve"> years old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3FE" w:rsidRPr="005D73FE" w:rsidRDefault="000E1783" w:rsidP="007429C8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Children </w:t>
            </w:r>
            <w:r w:rsidR="007429C8">
              <w:rPr>
                <w:rFonts w:ascii="Verdana" w:eastAsia="Times New Roman" w:hAnsi="Verdana" w:cs="Arial"/>
                <w:color w:val="000000"/>
              </w:rPr>
              <w:t>who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</w:rPr>
              <w:t>have not received two doses of MMR should get the vaccine. If both doses are needed</w:t>
            </w:r>
            <w:r w:rsidR="000B52C6">
              <w:rPr>
                <w:rFonts w:ascii="Verdana" w:eastAsia="Times New Roman" w:hAnsi="Verdana" w:cs="Arial"/>
                <w:color w:val="000000"/>
              </w:rPr>
              <w:t xml:space="preserve"> for catch-up</w:t>
            </w:r>
            <w:r>
              <w:rPr>
                <w:rFonts w:ascii="Verdana" w:eastAsia="Times New Roman" w:hAnsi="Verdana" w:cs="Arial"/>
                <w:color w:val="000000"/>
              </w:rPr>
              <w:t xml:space="preserve">, they should be given at least 28 days apart. </w:t>
            </w:r>
          </w:p>
        </w:tc>
      </w:tr>
      <w:tr w:rsidR="005D73FE" w:rsidRPr="005D73FE" w:rsidTr="000E1783">
        <w:trPr>
          <w:tblCellSpacing w:w="0" w:type="dxa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CE4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999999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Adults </w:t>
            </w:r>
          </w:p>
          <w:p w:rsidR="00537CE4" w:rsidRDefault="00537CE4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999999"/>
              </w:rPr>
            </w:pPr>
          </w:p>
          <w:p w:rsidR="005D73FE" w:rsidRPr="005D73FE" w:rsidRDefault="005D73FE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3FE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Adults </w:t>
            </w:r>
            <w:r w:rsidR="007429C8">
              <w:rPr>
                <w:rFonts w:ascii="Verdana" w:eastAsia="Times New Roman" w:hAnsi="Verdana" w:cs="Arial"/>
                <w:color w:val="000000"/>
              </w:rPr>
              <w:t>who</w:t>
            </w:r>
            <w:r>
              <w:rPr>
                <w:rFonts w:ascii="Verdana" w:eastAsia="Times New Roman" w:hAnsi="Verdana" w:cs="Arial"/>
                <w:color w:val="000000"/>
              </w:rPr>
              <w:t xml:space="preserve"> have not had two doses of MMR and have not had the measles should get the vaccine if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 they meet the following criteria</w:t>
            </w:r>
            <w:r>
              <w:rPr>
                <w:rFonts w:ascii="Verdana" w:eastAsia="Times New Roman" w:hAnsi="Verdana" w:cs="Arial"/>
                <w:color w:val="000000"/>
              </w:rPr>
              <w:t xml:space="preserve">: </w:t>
            </w:r>
          </w:p>
          <w:p w:rsidR="000E1783" w:rsidRDefault="007429C8" w:rsidP="000E1783">
            <w:pPr>
              <w:pStyle w:val="ListParagraph"/>
              <w:numPr>
                <w:ilvl w:val="0"/>
                <w:numId w:val="3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B</w:t>
            </w:r>
            <w:r w:rsidR="000E1783">
              <w:rPr>
                <w:rFonts w:ascii="Verdana" w:eastAsia="Times New Roman" w:hAnsi="Verdana" w:cs="Arial"/>
                <w:color w:val="000000"/>
              </w:rPr>
              <w:t>orn after 1957</w:t>
            </w:r>
          </w:p>
          <w:p w:rsidR="000E1783" w:rsidRDefault="007429C8" w:rsidP="000E1783">
            <w:pPr>
              <w:pStyle w:val="ListParagraph"/>
              <w:numPr>
                <w:ilvl w:val="0"/>
                <w:numId w:val="4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Attend school </w:t>
            </w:r>
            <w:r w:rsidR="000E1783">
              <w:rPr>
                <w:rFonts w:ascii="Verdana" w:eastAsia="Times New Roman" w:hAnsi="Verdana" w:cs="Arial"/>
                <w:color w:val="000000"/>
              </w:rPr>
              <w:t>beyond high school (e.g. college, trade school)</w:t>
            </w:r>
          </w:p>
          <w:p w:rsidR="000E1783" w:rsidRDefault="007429C8" w:rsidP="000E1783">
            <w:pPr>
              <w:pStyle w:val="ListParagraph"/>
              <w:numPr>
                <w:ilvl w:val="0"/>
                <w:numId w:val="4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Work</w:t>
            </w:r>
            <w:r w:rsidR="000B52C6">
              <w:rPr>
                <w:rFonts w:ascii="Verdana" w:eastAsia="Times New Roman" w:hAnsi="Verdana" w:cs="Arial"/>
                <w:color w:val="000000"/>
              </w:rPr>
              <w:t xml:space="preserve"> or volunteer</w:t>
            </w:r>
            <w:r w:rsidR="000E1783">
              <w:rPr>
                <w:rFonts w:ascii="Verdana" w:eastAsia="Times New Roman" w:hAnsi="Verdana" w:cs="Arial"/>
                <w:color w:val="000000"/>
              </w:rPr>
              <w:t xml:space="preserve"> in a healthcare facility of any type</w:t>
            </w:r>
          </w:p>
          <w:p w:rsidR="000E1783" w:rsidRDefault="007429C8" w:rsidP="000E1783">
            <w:pPr>
              <w:pStyle w:val="ListParagraph"/>
              <w:numPr>
                <w:ilvl w:val="0"/>
                <w:numId w:val="4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T</w:t>
            </w:r>
            <w:r w:rsidR="000E1783">
              <w:rPr>
                <w:rFonts w:ascii="Verdana" w:eastAsia="Times New Roman" w:hAnsi="Verdana" w:cs="Arial"/>
                <w:color w:val="000000"/>
              </w:rPr>
              <w:t xml:space="preserve">ravel internationally, including </w:t>
            </w:r>
            <w:r w:rsidR="000B52C6">
              <w:rPr>
                <w:rFonts w:ascii="Verdana" w:eastAsia="Times New Roman" w:hAnsi="Verdana" w:cs="Arial"/>
                <w:color w:val="000000"/>
              </w:rPr>
              <w:t xml:space="preserve">on </w:t>
            </w:r>
            <w:r w:rsidR="000E1783">
              <w:rPr>
                <w:rFonts w:ascii="Verdana" w:eastAsia="Times New Roman" w:hAnsi="Verdana" w:cs="Arial"/>
                <w:color w:val="000000"/>
              </w:rPr>
              <w:t>cruise ships</w:t>
            </w:r>
          </w:p>
          <w:p w:rsidR="000E1783" w:rsidRPr="000E1783" w:rsidRDefault="007429C8" w:rsidP="000E1783">
            <w:pPr>
              <w:pStyle w:val="ListParagraph"/>
              <w:numPr>
                <w:ilvl w:val="0"/>
                <w:numId w:val="4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Women </w:t>
            </w:r>
            <w:r w:rsidR="000E1783">
              <w:rPr>
                <w:rFonts w:ascii="Verdana" w:eastAsia="Times New Roman" w:hAnsi="Verdana" w:cs="Arial"/>
                <w:color w:val="000000"/>
              </w:rPr>
              <w:t>of childbearing age (and</w:t>
            </w:r>
            <w:r w:rsidR="000E1783" w:rsidRPr="007429C8">
              <w:rPr>
                <w:rFonts w:ascii="Verdana" w:eastAsia="Times New Roman" w:hAnsi="Verdana" w:cs="Arial"/>
                <w:b/>
                <w:color w:val="000000"/>
              </w:rPr>
              <w:t xml:space="preserve"> not</w:t>
            </w:r>
            <w:r w:rsidR="000E1783">
              <w:rPr>
                <w:rFonts w:ascii="Verdana" w:eastAsia="Times New Roman" w:hAnsi="Verdana" w:cs="Arial"/>
                <w:color w:val="000000"/>
              </w:rPr>
              <w:t xml:space="preserve"> currently pregnant)</w:t>
            </w:r>
          </w:p>
        </w:tc>
      </w:tr>
      <w:tr w:rsidR="005D73FE" w:rsidRPr="005D73FE" w:rsidTr="000E1783">
        <w:trPr>
          <w:trHeight w:val="738"/>
          <w:tblCellSpacing w:w="0" w:type="dxa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3FE" w:rsidRPr="005D73FE" w:rsidRDefault="005D73FE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 w:rsidRPr="005D73FE">
              <w:rPr>
                <w:rFonts w:ascii="Verdana" w:eastAsia="Times New Roman" w:hAnsi="Verdana" w:cs="Arial"/>
                <w:color w:val="000000"/>
              </w:rPr>
              <w:t>Pregnant women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3FE" w:rsidRPr="005D73FE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Pregnant women should not receive the MMR vaccine. </w:t>
            </w:r>
          </w:p>
        </w:tc>
      </w:tr>
      <w:tr w:rsidR="0084453D" w:rsidRPr="005D73FE" w:rsidTr="000E1783">
        <w:trPr>
          <w:trHeight w:val="1170"/>
          <w:tblCellSpacing w:w="0" w:type="dxa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3D" w:rsidRPr="005D73FE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People exposed to measles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83" w:rsidRDefault="000B52C6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P</w:t>
            </w:r>
            <w:r w:rsidR="000E1783">
              <w:rPr>
                <w:rFonts w:ascii="Verdana" w:eastAsia="Times New Roman" w:hAnsi="Verdana" w:cs="Arial"/>
                <w:color w:val="000000"/>
              </w:rPr>
              <w:t>eople exposed to measles</w:t>
            </w:r>
            <w:r>
              <w:rPr>
                <w:rFonts w:ascii="Verdana" w:eastAsia="Times New Roman" w:hAnsi="Verdana" w:cs="Arial"/>
                <w:color w:val="000000"/>
              </w:rPr>
              <w:t xml:space="preserve"> should receive MMR within 72 hours of exposure if </w:t>
            </w:r>
            <w:r w:rsidR="000E1783">
              <w:rPr>
                <w:rFonts w:ascii="Verdana" w:eastAsia="Times New Roman" w:hAnsi="Verdana" w:cs="Arial"/>
                <w:color w:val="000000"/>
              </w:rPr>
              <w:t xml:space="preserve"> th</w:t>
            </w:r>
            <w:r>
              <w:rPr>
                <w:rFonts w:ascii="Verdana" w:eastAsia="Times New Roman" w:hAnsi="Verdana" w:cs="Arial"/>
                <w:color w:val="000000"/>
              </w:rPr>
              <w:t>ey are</w:t>
            </w:r>
            <w:r w:rsidR="000E1783">
              <w:rPr>
                <w:rFonts w:ascii="Verdana" w:eastAsia="Times New Roman" w:hAnsi="Verdana" w:cs="Arial"/>
                <w:color w:val="000000"/>
              </w:rPr>
              <w:t>:</w:t>
            </w:r>
          </w:p>
          <w:p w:rsidR="000E1783" w:rsidRDefault="000E1783" w:rsidP="000E1783">
            <w:pPr>
              <w:pStyle w:val="ListParagraph"/>
              <w:numPr>
                <w:ilvl w:val="0"/>
                <w:numId w:val="6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 xml:space="preserve">Not </w:t>
            </w:r>
            <w:r w:rsidR="007429C8">
              <w:rPr>
                <w:rFonts w:ascii="Verdana" w:eastAsia="Times New Roman" w:hAnsi="Verdana" w:cs="Arial"/>
                <w:color w:val="000000"/>
              </w:rPr>
              <w:t>full</w:t>
            </w:r>
            <w:r w:rsidR="007429C8">
              <w:rPr>
                <w:rFonts w:ascii="Verdana" w:eastAsia="Times New Roman" w:hAnsi="Verdana" w:cs="Arial"/>
                <w:color w:val="000000"/>
              </w:rPr>
              <w:t xml:space="preserve">y </w:t>
            </w:r>
            <w:r>
              <w:rPr>
                <w:rFonts w:ascii="Verdana" w:eastAsia="Times New Roman" w:hAnsi="Verdana" w:cs="Arial"/>
                <w:color w:val="000000"/>
              </w:rPr>
              <w:t>vaccinated or had measles</w:t>
            </w:r>
            <w:r w:rsidR="000B52C6">
              <w:rPr>
                <w:rFonts w:ascii="Verdana" w:eastAsia="Times New Roman" w:hAnsi="Verdana" w:cs="Arial"/>
                <w:color w:val="000000"/>
              </w:rPr>
              <w:t>,</w:t>
            </w:r>
            <w:r>
              <w:rPr>
                <w:rFonts w:ascii="Verdana" w:eastAsia="Times New Roman" w:hAnsi="Verdana" w:cs="Arial"/>
                <w:color w:val="000000"/>
              </w:rPr>
              <w:t xml:space="preserve"> and </w:t>
            </w:r>
          </w:p>
          <w:p w:rsidR="000E1783" w:rsidRDefault="000E1783" w:rsidP="000E1783">
            <w:pPr>
              <w:pStyle w:val="ListParagraph"/>
              <w:numPr>
                <w:ilvl w:val="0"/>
                <w:numId w:val="6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Born after 1957</w:t>
            </w:r>
            <w:r w:rsidR="000B52C6">
              <w:rPr>
                <w:rFonts w:ascii="Verdana" w:eastAsia="Times New Roman" w:hAnsi="Verdana" w:cs="Arial"/>
                <w:color w:val="000000"/>
              </w:rPr>
              <w:t>,</w:t>
            </w:r>
            <w:r>
              <w:rPr>
                <w:rFonts w:ascii="Verdana" w:eastAsia="Times New Roman" w:hAnsi="Verdana" w:cs="Arial"/>
                <w:color w:val="000000"/>
              </w:rPr>
              <w:t xml:space="preserve"> and</w:t>
            </w:r>
          </w:p>
          <w:p w:rsidR="000E1783" w:rsidRDefault="000E1783" w:rsidP="000E1783">
            <w:pPr>
              <w:pStyle w:val="ListParagraph"/>
              <w:numPr>
                <w:ilvl w:val="0"/>
                <w:numId w:val="6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Over six months of age</w:t>
            </w:r>
            <w:r w:rsidR="000B52C6">
              <w:rPr>
                <w:rFonts w:ascii="Verdana" w:eastAsia="Times New Roman" w:hAnsi="Verdana" w:cs="Arial"/>
                <w:color w:val="000000"/>
              </w:rPr>
              <w:t>,</w:t>
            </w:r>
            <w:r>
              <w:rPr>
                <w:rFonts w:ascii="Verdana" w:eastAsia="Times New Roman" w:hAnsi="Verdana" w:cs="Arial"/>
                <w:color w:val="000000"/>
              </w:rPr>
              <w:t xml:space="preserve"> and</w:t>
            </w:r>
          </w:p>
          <w:p w:rsidR="000E1783" w:rsidRDefault="000E1783" w:rsidP="000E1783">
            <w:pPr>
              <w:pStyle w:val="ListParagraph"/>
              <w:numPr>
                <w:ilvl w:val="0"/>
                <w:numId w:val="6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Not pregnant</w:t>
            </w:r>
            <w:r w:rsidR="000B52C6">
              <w:rPr>
                <w:rFonts w:ascii="Verdana" w:eastAsia="Times New Roman" w:hAnsi="Verdana" w:cs="Arial"/>
                <w:color w:val="000000"/>
              </w:rPr>
              <w:t>,</w:t>
            </w:r>
            <w:r>
              <w:rPr>
                <w:rFonts w:ascii="Verdana" w:eastAsia="Times New Roman" w:hAnsi="Verdana" w:cs="Arial"/>
                <w:color w:val="000000"/>
              </w:rPr>
              <w:t xml:space="preserve"> and </w:t>
            </w:r>
          </w:p>
          <w:p w:rsidR="000E1783" w:rsidRPr="000E1783" w:rsidRDefault="000E1783" w:rsidP="000E1783">
            <w:pPr>
              <w:pStyle w:val="ListParagraph"/>
              <w:numPr>
                <w:ilvl w:val="0"/>
                <w:numId w:val="6"/>
              </w:num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Not immunocompromised</w:t>
            </w:r>
          </w:p>
          <w:p w:rsidR="0084453D" w:rsidRDefault="0084453D" w:rsidP="000E1783">
            <w:pPr>
              <w:spacing w:before="75" w:after="150" w:line="312" w:lineRule="atLeast"/>
              <w:rPr>
                <w:rFonts w:ascii="Verdana" w:eastAsia="Times New Roman" w:hAnsi="Verdana" w:cs="Arial"/>
                <w:color w:val="000000"/>
              </w:rPr>
            </w:pPr>
          </w:p>
        </w:tc>
      </w:tr>
    </w:tbl>
    <w:p w:rsidR="00675364" w:rsidRDefault="00675364" w:rsidP="00EB541F">
      <w:pPr>
        <w:spacing w:before="75" w:after="150" w:line="312" w:lineRule="atLeast"/>
        <w:rPr>
          <w:rFonts w:ascii="Verdana" w:eastAsia="Times New Roman" w:hAnsi="Verdana" w:cs="Arial"/>
          <w:color w:val="000000"/>
          <w:sz w:val="17"/>
          <w:szCs w:val="17"/>
        </w:rPr>
      </w:pPr>
      <w:bookmarkStart w:id="0" w:name="note1"/>
      <w:bookmarkStart w:id="1" w:name="note2"/>
      <w:bookmarkEnd w:id="0"/>
      <w:bookmarkEnd w:id="1"/>
    </w:p>
    <w:p w:rsidR="007429C8" w:rsidRPr="00537CE4" w:rsidRDefault="007429C8" w:rsidP="00EB541F">
      <w:pPr>
        <w:spacing w:before="75" w:after="150" w:line="312" w:lineRule="atLeast"/>
        <w:rPr>
          <w:rFonts w:ascii="Verdana" w:eastAsia="Times New Roman" w:hAnsi="Verdana" w:cs="Arial"/>
          <w:color w:val="000000"/>
          <w:sz w:val="17"/>
          <w:szCs w:val="17"/>
        </w:rPr>
      </w:pPr>
      <w:r>
        <w:rPr>
          <w:rFonts w:ascii="Verdana" w:eastAsia="Times New Roman" w:hAnsi="Verdana" w:cs="Arial"/>
          <w:color w:val="000000"/>
          <w:sz w:val="17"/>
          <w:szCs w:val="17"/>
        </w:rPr>
        <w:t>For complete MMR recommendations, visit www.cdc.gov/mmwr/pdf/rr/rr5</w:t>
      </w:r>
      <w:bookmarkStart w:id="2" w:name="_GoBack"/>
      <w:bookmarkEnd w:id="2"/>
      <w:r>
        <w:rPr>
          <w:rFonts w:ascii="Verdana" w:eastAsia="Times New Roman" w:hAnsi="Verdana" w:cs="Arial"/>
          <w:color w:val="000000"/>
          <w:sz w:val="17"/>
          <w:szCs w:val="17"/>
        </w:rPr>
        <w:t>903.pdf</w:t>
      </w:r>
    </w:p>
    <w:sectPr w:rsidR="007429C8" w:rsidRPr="00537CE4" w:rsidSect="005C74C8">
      <w:headerReference w:type="default" r:id="rId8"/>
      <w:pgSz w:w="12240" w:h="15840" w:code="1"/>
      <w:pgMar w:top="1440" w:right="1440" w:bottom="547" w:left="1440" w:header="274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45" w:rsidRDefault="00E01945" w:rsidP="00537CE4">
      <w:pPr>
        <w:spacing w:after="0" w:line="240" w:lineRule="auto"/>
      </w:pPr>
      <w:r>
        <w:separator/>
      </w:r>
    </w:p>
  </w:endnote>
  <w:endnote w:type="continuationSeparator" w:id="0">
    <w:p w:rsidR="00E01945" w:rsidRDefault="00E01945" w:rsidP="0053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45" w:rsidRDefault="00E01945" w:rsidP="00537CE4">
      <w:pPr>
        <w:spacing w:after="0" w:line="240" w:lineRule="auto"/>
      </w:pPr>
      <w:r>
        <w:separator/>
      </w:r>
    </w:p>
  </w:footnote>
  <w:footnote w:type="continuationSeparator" w:id="0">
    <w:p w:rsidR="00E01945" w:rsidRDefault="00E01945" w:rsidP="0053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1F" w:rsidRDefault="00EB541F" w:rsidP="00EB541F">
    <w:pPr>
      <w:pStyle w:val="Header"/>
      <w:ind w:left="-1080" w:firstLine="3960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247A8" wp14:editId="5173ADAE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340864" cy="914400"/>
          <wp:effectExtent l="0" t="0" r="2540" b="0"/>
          <wp:wrapThrough wrapText="right">
            <wp:wrapPolygon edited="0">
              <wp:start x="0" y="0"/>
              <wp:lineTo x="0" y="21150"/>
              <wp:lineTo x="21448" y="21150"/>
              <wp:lineTo x="214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y_DSHS_Hsm[1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541F" w:rsidRDefault="0084453D" w:rsidP="00EB541F">
    <w:pPr>
      <w:pStyle w:val="Header"/>
      <w:ind w:left="-1080" w:firstLine="3960"/>
      <w:rPr>
        <w:b/>
        <w:sz w:val="36"/>
        <w:szCs w:val="36"/>
      </w:rPr>
    </w:pPr>
    <w:r>
      <w:rPr>
        <w:b/>
        <w:sz w:val="36"/>
        <w:szCs w:val="36"/>
      </w:rPr>
      <w:t>MEASLES-MUMPS-RUBELLA (MMR)</w:t>
    </w:r>
  </w:p>
  <w:p w:rsidR="00537CE4" w:rsidRDefault="0084453D" w:rsidP="00EB541F">
    <w:pPr>
      <w:pStyle w:val="Header"/>
      <w:ind w:left="-1080" w:firstLine="3960"/>
    </w:pPr>
    <w:r>
      <w:rPr>
        <w:b/>
        <w:sz w:val="36"/>
        <w:szCs w:val="36"/>
      </w:rPr>
      <w:t xml:space="preserve">VACCINE </w:t>
    </w:r>
    <w:r w:rsidR="00537CE4" w:rsidRPr="00EB541F">
      <w:rPr>
        <w:b/>
        <w:sz w:val="36"/>
        <w:szCs w:val="36"/>
      </w:rPr>
      <w:t>RECOMMENDATIONS</w:t>
    </w:r>
    <w:r>
      <w:rPr>
        <w:b/>
        <w:sz w:val="36"/>
        <w:szCs w:val="36"/>
      </w:rP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2338D"/>
    <w:multiLevelType w:val="hybridMultilevel"/>
    <w:tmpl w:val="D134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50CFD"/>
    <w:multiLevelType w:val="multilevel"/>
    <w:tmpl w:val="EE5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B2CB9"/>
    <w:multiLevelType w:val="hybridMultilevel"/>
    <w:tmpl w:val="FB28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6B6C"/>
    <w:multiLevelType w:val="hybridMultilevel"/>
    <w:tmpl w:val="D418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E73AB"/>
    <w:multiLevelType w:val="hybridMultilevel"/>
    <w:tmpl w:val="703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B7380"/>
    <w:multiLevelType w:val="hybridMultilevel"/>
    <w:tmpl w:val="7350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FE"/>
    <w:rsid w:val="000B52C6"/>
    <w:rsid w:val="000E1783"/>
    <w:rsid w:val="0026691E"/>
    <w:rsid w:val="00537CE4"/>
    <w:rsid w:val="005C74C8"/>
    <w:rsid w:val="005D73FE"/>
    <w:rsid w:val="00675364"/>
    <w:rsid w:val="007429C8"/>
    <w:rsid w:val="0084453D"/>
    <w:rsid w:val="00C169C9"/>
    <w:rsid w:val="00D823F8"/>
    <w:rsid w:val="00E01945"/>
    <w:rsid w:val="00EB541F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73FE"/>
    <w:rPr>
      <w:b/>
      <w:bCs/>
      <w:color w:val="552200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5D73FE"/>
    <w:rPr>
      <w:b/>
      <w:bCs/>
    </w:rPr>
  </w:style>
  <w:style w:type="character" w:customStyle="1" w:styleId="moreinfo1">
    <w:name w:val="more_info1"/>
    <w:basedOn w:val="DefaultParagraphFont"/>
    <w:rsid w:val="005D73FE"/>
    <w:rPr>
      <w:b w:val="0"/>
      <w:bCs w:val="0"/>
      <w:color w:val="999999"/>
      <w:sz w:val="20"/>
      <w:szCs w:val="20"/>
    </w:rPr>
  </w:style>
  <w:style w:type="paragraph" w:styleId="ListParagraph">
    <w:name w:val="List Paragraph"/>
    <w:basedOn w:val="Normal"/>
    <w:uiPriority w:val="34"/>
    <w:qFormat/>
    <w:rsid w:val="00537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E4"/>
  </w:style>
  <w:style w:type="paragraph" w:styleId="Footer">
    <w:name w:val="footer"/>
    <w:basedOn w:val="Normal"/>
    <w:link w:val="FooterChar"/>
    <w:uiPriority w:val="99"/>
    <w:unhideWhenUsed/>
    <w:rsid w:val="0053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E4"/>
  </w:style>
  <w:style w:type="paragraph" w:styleId="BalloonText">
    <w:name w:val="Balloon Text"/>
    <w:basedOn w:val="Normal"/>
    <w:link w:val="BalloonTextChar"/>
    <w:uiPriority w:val="99"/>
    <w:semiHidden/>
    <w:unhideWhenUsed/>
    <w:rsid w:val="0053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5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73FE"/>
    <w:rPr>
      <w:b/>
      <w:bCs/>
      <w:color w:val="552200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5D73FE"/>
    <w:rPr>
      <w:b/>
      <w:bCs/>
    </w:rPr>
  </w:style>
  <w:style w:type="character" w:customStyle="1" w:styleId="moreinfo1">
    <w:name w:val="more_info1"/>
    <w:basedOn w:val="DefaultParagraphFont"/>
    <w:rsid w:val="005D73FE"/>
    <w:rPr>
      <w:b w:val="0"/>
      <w:bCs w:val="0"/>
      <w:color w:val="999999"/>
      <w:sz w:val="20"/>
      <w:szCs w:val="20"/>
    </w:rPr>
  </w:style>
  <w:style w:type="paragraph" w:styleId="ListParagraph">
    <w:name w:val="List Paragraph"/>
    <w:basedOn w:val="Normal"/>
    <w:uiPriority w:val="34"/>
    <w:qFormat/>
    <w:rsid w:val="00537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E4"/>
  </w:style>
  <w:style w:type="paragraph" w:styleId="Footer">
    <w:name w:val="footer"/>
    <w:basedOn w:val="Normal"/>
    <w:link w:val="FooterChar"/>
    <w:uiPriority w:val="99"/>
    <w:unhideWhenUsed/>
    <w:rsid w:val="0053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E4"/>
  </w:style>
  <w:style w:type="paragraph" w:styleId="BalloonText">
    <w:name w:val="Balloon Text"/>
    <w:basedOn w:val="Normal"/>
    <w:link w:val="BalloonTextChar"/>
    <w:uiPriority w:val="99"/>
    <w:semiHidden/>
    <w:unhideWhenUsed/>
    <w:rsid w:val="0053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5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8367">
                  <w:marLeft w:val="0"/>
                  <w:marRight w:val="0"/>
                  <w:marTop w:val="0"/>
                  <w:marBottom w:val="0"/>
                  <w:divBdr>
                    <w:top w:val="single" w:sz="36" w:space="8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513">
                  <w:marLeft w:val="0"/>
                  <w:marRight w:val="0"/>
                  <w:marTop w:val="0"/>
                  <w:marBottom w:val="0"/>
                  <w:divBdr>
                    <w:top w:val="single" w:sz="36" w:space="8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Wiseman,Rachel (DSHS)</dc:creator>
  <cp:lastModifiedBy>Wiseman,Rachel (DSHS)</cp:lastModifiedBy>
  <cp:revision>2</cp:revision>
  <dcterms:created xsi:type="dcterms:W3CDTF">2013-10-15T16:16:00Z</dcterms:created>
  <dcterms:modified xsi:type="dcterms:W3CDTF">2013-10-15T16:16:00Z</dcterms:modified>
</cp:coreProperties>
</file>